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濮阳市民政局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2016年至2019年未开展乱收费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举报投诉查处机制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《社会团体登记管理条例》、《民政部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财政部关于调整社会团体会费政策等有关问题的通知》民发〔2003〕95号要求，“登记管理机关履行下列监督管理职责：(三) 对社会团体违反本条例的问题进行监督检查，对社会团体违反本条例的行为给予行政处罚。”、“社会团体可依据章程规定的业务范围、工作成本等因素，合理制定会费标准。”、“社会团体会费标准的制定或修改须经会员大会(或会员代表大会)讨论，其决议须经到会会员(或会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代表)半数以上表决通过方能生效。”根据《省民政厅关于以案促改规范行业协会商会收费管理工作方案》于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关于行业协会商会乱收费行为举报投诉电话公示。故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2016年至2019年未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开展关于行业协会商会乱收费行为举报投诉查处机制。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濮阳市民政局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left="0" w:lef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2021年4月19日</w:t>
      </w:r>
    </w:p>
    <w:sectPr>
      <w:pgSz w:w="11906" w:h="16838"/>
      <w:pgMar w:top="1928" w:right="1800" w:bottom="19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80E22"/>
    <w:rsid w:val="1F9733BD"/>
    <w:rsid w:val="57D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hover"/>
    <w:basedOn w:val="6"/>
    <w:uiPriority w:val="0"/>
  </w:style>
  <w:style w:type="character" w:customStyle="1" w:styleId="10">
    <w:name w:val="hover1"/>
    <w:basedOn w:val="6"/>
    <w:uiPriority w:val="0"/>
  </w:style>
  <w:style w:type="character" w:customStyle="1" w:styleId="11">
    <w:name w:val="hover6"/>
    <w:basedOn w:val="6"/>
    <w:uiPriority w:val="0"/>
  </w:style>
  <w:style w:type="character" w:customStyle="1" w:styleId="12">
    <w:name w:val="hover7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2021-04-20T00:26:00Z</dcterms:created>
  <dc:creator>Administrator</dc:creator>
  <cp:lastModifiedBy>方方</cp:lastModifiedBy>
  <cp:lastPrinted>2021-04-20T07:37:43Z</cp:lastPrinted>
  <dcterms:modified xsi:type="dcterms:W3CDTF">2021-04-20T07:58:32Z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DA00B2911B734A85A201303893EA8AE7</vt:lpwstr>
  </property>
</Properties>
</file>